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Oct 14, 2022</w:t>
        <w:tab/>
        <w:tab/>
        <w:t xml:space="preserve">11am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_x_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__</w:t>
        <w:tab/>
        <w:t xml:space="preserve">Amanda Robinson, Executive Assistant</w:t>
        <w:tab/>
        <w:t xml:space="preserve">_x_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- $3458.57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 - 183 visitors, down 36%; 4 new visitors, down 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Review website changes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Election - send out position nominations - president elect, secretary, public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Debrief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Karen requesting use of miniatures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and next meeting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Nov 18th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duG9dcAgkE1UeCZOvDTnnxcCg==">AMUW2mX0b3c668MaFNpgvC0J9MdSWhyAvBJ0//UAbwYRpUvbcna75mHMcJ4tKiOTfjLY87mH1Js3DoWaXibhCq5WIjxJzTqnpDP0T1TBhtrXnIDwaNytM5U=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